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C7C2F" w14:textId="7AAC96E6" w:rsidR="000130D2" w:rsidRPr="00A64988" w:rsidRDefault="000130D2" w:rsidP="00A64988">
      <w:pPr>
        <w:spacing w:line="276" w:lineRule="auto"/>
        <w:jc w:val="center"/>
        <w:rPr>
          <w:rFonts w:ascii="Times New Roman" w:hAnsi="Times New Roman" w:cs="Times New Roman"/>
          <w:b/>
          <w:bCs/>
        </w:rPr>
      </w:pPr>
      <w:bookmarkStart w:id="0" w:name="_GoBack"/>
      <w:r w:rsidRPr="00A64988">
        <w:rPr>
          <w:rFonts w:ascii="Times New Roman" w:hAnsi="Times New Roman" w:cs="Times New Roman"/>
          <w:b/>
          <w:bCs/>
        </w:rPr>
        <w:t>ÁN LỆ SỐ 48/2021/AL</w:t>
      </w:r>
      <w:bookmarkStart w:id="1" w:name="_ftnref5"/>
      <w:bookmarkEnd w:id="1"/>
      <w:r w:rsidR="00D05B65" w:rsidRPr="00A64988">
        <w:rPr>
          <w:rFonts w:ascii="Times New Roman" w:hAnsi="Times New Roman" w:cs="Times New Roman"/>
          <w:b/>
          <w:bCs/>
        </w:rPr>
        <w:t>[1]</w:t>
      </w:r>
    </w:p>
    <w:p w14:paraId="569513AE" w14:textId="77777777" w:rsidR="000130D2" w:rsidRPr="00A64988" w:rsidRDefault="000130D2" w:rsidP="00A64988">
      <w:pPr>
        <w:spacing w:line="276" w:lineRule="auto"/>
        <w:jc w:val="center"/>
        <w:rPr>
          <w:rFonts w:ascii="Times New Roman" w:hAnsi="Times New Roman" w:cs="Times New Roman"/>
          <w:b/>
          <w:bCs/>
        </w:rPr>
      </w:pPr>
      <w:r w:rsidRPr="00A64988">
        <w:rPr>
          <w:rFonts w:ascii="Times New Roman" w:hAnsi="Times New Roman" w:cs="Times New Roman"/>
          <w:b/>
          <w:bCs/>
        </w:rPr>
        <w:t>Về tình tiết giảm nhẹ trách nhiệm hình sự “nộp lại tiền thu lợi bất chính”</w:t>
      </w:r>
    </w:p>
    <w:p w14:paraId="3020D6AC" w14:textId="77777777" w:rsidR="000130D2" w:rsidRPr="00A64988" w:rsidRDefault="000130D2" w:rsidP="00A64988">
      <w:pPr>
        <w:spacing w:after="120" w:line="276" w:lineRule="auto"/>
        <w:ind w:firstLine="720"/>
        <w:jc w:val="both"/>
        <w:rPr>
          <w:rFonts w:ascii="Times New Roman" w:hAnsi="Times New Roman" w:cs="Times New Roman"/>
          <w:i/>
          <w:iCs/>
        </w:rPr>
      </w:pPr>
      <w:r w:rsidRPr="00A64988">
        <w:rPr>
          <w:rFonts w:ascii="Times New Roman" w:hAnsi="Times New Roman" w:cs="Times New Roman"/>
          <w:i/>
          <w:iCs/>
        </w:rPr>
        <w:t>Được Hội đồng Thẩm phán Tòa án nhân dân tối cao thông qua ngày 25 tháng 11 năm 2021 và được công bố theo Quyết định số 594/QĐ-CA ngày 31 tháng 12 năm 2021 của Chánh án Tòa án nhân dân tối cao.</w:t>
      </w:r>
    </w:p>
    <w:p w14:paraId="76D863DD" w14:textId="77777777" w:rsidR="000130D2" w:rsidRPr="00A64988" w:rsidRDefault="000130D2" w:rsidP="00A64988">
      <w:pPr>
        <w:spacing w:after="120" w:line="276" w:lineRule="auto"/>
        <w:ind w:firstLine="720"/>
        <w:jc w:val="both"/>
        <w:rPr>
          <w:rFonts w:ascii="Times New Roman" w:hAnsi="Times New Roman" w:cs="Times New Roman"/>
          <w:b/>
          <w:bCs/>
        </w:rPr>
      </w:pPr>
      <w:r w:rsidRPr="00A64988">
        <w:rPr>
          <w:rFonts w:ascii="Times New Roman" w:hAnsi="Times New Roman" w:cs="Times New Roman"/>
          <w:b/>
          <w:bCs/>
        </w:rPr>
        <w:t>Nguồn án lệ:</w:t>
      </w:r>
    </w:p>
    <w:p w14:paraId="667C1E41"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Quyết định giám đốc thẩm số 03/2020/HS-GĐT ngày 22/4/2020 của Hội đồng Thẩm phán Tòa án nhân dân tối cao về vụ án “Đánh bạc” và “Tổ chức đánh bạc” đối với bị cáo Hồ Công Nhật Q, Hồ Viết H, Nguyễn Mộng V.</w:t>
      </w:r>
    </w:p>
    <w:p w14:paraId="42A17EF3" w14:textId="77777777" w:rsidR="000130D2" w:rsidRPr="00A64988" w:rsidRDefault="000130D2" w:rsidP="00A64988">
      <w:pPr>
        <w:spacing w:after="120" w:line="276" w:lineRule="auto"/>
        <w:ind w:firstLine="720"/>
        <w:jc w:val="both"/>
        <w:rPr>
          <w:rFonts w:ascii="Times New Roman" w:hAnsi="Times New Roman" w:cs="Times New Roman"/>
          <w:b/>
          <w:bCs/>
        </w:rPr>
      </w:pPr>
      <w:r w:rsidRPr="00A64988">
        <w:rPr>
          <w:rFonts w:ascii="Times New Roman" w:hAnsi="Times New Roman" w:cs="Times New Roman"/>
          <w:b/>
          <w:bCs/>
        </w:rPr>
        <w:t>Vị trí nội dung án lệ:</w:t>
      </w:r>
    </w:p>
    <w:p w14:paraId="48901A3A"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Đoạn 3 phần “Nhận định của Tòa án”.</w:t>
      </w:r>
    </w:p>
    <w:p w14:paraId="5B4AF6C4" w14:textId="77777777" w:rsidR="000130D2" w:rsidRPr="00A64988" w:rsidRDefault="000130D2" w:rsidP="00A64988">
      <w:pPr>
        <w:spacing w:after="120" w:line="276" w:lineRule="auto"/>
        <w:ind w:firstLine="720"/>
        <w:jc w:val="both"/>
        <w:rPr>
          <w:rFonts w:ascii="Times New Roman" w:hAnsi="Times New Roman" w:cs="Times New Roman"/>
          <w:b/>
          <w:bCs/>
        </w:rPr>
      </w:pPr>
      <w:r w:rsidRPr="00A64988">
        <w:rPr>
          <w:rFonts w:ascii="Times New Roman" w:hAnsi="Times New Roman" w:cs="Times New Roman"/>
          <w:b/>
          <w:bCs/>
        </w:rPr>
        <w:t>Khái quát nội dung án lệ:</w:t>
      </w:r>
    </w:p>
    <w:p w14:paraId="65E992EB" w14:textId="77777777" w:rsidR="000130D2" w:rsidRPr="00A64988" w:rsidRDefault="000130D2" w:rsidP="00A64988">
      <w:pPr>
        <w:spacing w:after="120" w:line="276" w:lineRule="auto"/>
        <w:ind w:firstLine="720"/>
        <w:jc w:val="both"/>
        <w:rPr>
          <w:rFonts w:ascii="Times New Roman" w:hAnsi="Times New Roman" w:cs="Times New Roman"/>
          <w:b/>
          <w:bCs/>
          <w:i/>
          <w:iCs/>
        </w:rPr>
      </w:pPr>
      <w:r w:rsidRPr="00A64988">
        <w:rPr>
          <w:rFonts w:ascii="Times New Roman" w:hAnsi="Times New Roman" w:cs="Times New Roman"/>
          <w:b/>
          <w:bCs/>
          <w:i/>
          <w:iCs/>
        </w:rPr>
        <w:t>- Tình huống án lệ:</w:t>
      </w:r>
    </w:p>
    <w:p w14:paraId="4CB639C8"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Bị can, bị cáo nộp lại tiền thu lợi bất chính từ hành vi phạm tội.</w:t>
      </w:r>
    </w:p>
    <w:p w14:paraId="05D38387" w14:textId="77777777" w:rsidR="000130D2" w:rsidRPr="00A64988" w:rsidRDefault="000130D2" w:rsidP="00A64988">
      <w:pPr>
        <w:spacing w:after="120" w:line="276" w:lineRule="auto"/>
        <w:ind w:firstLine="720"/>
        <w:jc w:val="both"/>
        <w:rPr>
          <w:rFonts w:ascii="Times New Roman" w:hAnsi="Times New Roman" w:cs="Times New Roman"/>
          <w:b/>
          <w:bCs/>
          <w:i/>
          <w:iCs/>
        </w:rPr>
      </w:pPr>
      <w:r w:rsidRPr="00A64988">
        <w:rPr>
          <w:rFonts w:ascii="Times New Roman" w:hAnsi="Times New Roman" w:cs="Times New Roman"/>
          <w:b/>
          <w:bCs/>
          <w:i/>
          <w:iCs/>
        </w:rPr>
        <w:t>- Giải pháp pháp lý:</w:t>
      </w:r>
    </w:p>
    <w:p w14:paraId="1E698BAA"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Trường hợp này, Tòa án phải xác định bị cáo được hưởng tình tiết giảm nhẹ trách nhiệm hình sự theo khoản 2 Điều 46 Bộ luật Hình sự năm 1999 (tương ứng với khoản 2 Điều 51 Bộ luật Hình sự năm 2015 sửa đổi, bổ sung năm 2017).</w:t>
      </w:r>
    </w:p>
    <w:p w14:paraId="521FC662" w14:textId="77777777" w:rsidR="000130D2" w:rsidRPr="00A64988" w:rsidRDefault="000130D2" w:rsidP="00A64988">
      <w:pPr>
        <w:spacing w:after="120" w:line="276" w:lineRule="auto"/>
        <w:ind w:firstLine="720"/>
        <w:jc w:val="both"/>
        <w:rPr>
          <w:rFonts w:ascii="Times New Roman" w:hAnsi="Times New Roman" w:cs="Times New Roman"/>
          <w:b/>
          <w:bCs/>
        </w:rPr>
      </w:pPr>
      <w:r w:rsidRPr="00A64988">
        <w:rPr>
          <w:rFonts w:ascii="Times New Roman" w:hAnsi="Times New Roman" w:cs="Times New Roman"/>
          <w:b/>
          <w:bCs/>
        </w:rPr>
        <w:t>Quy định của pháp luật liên quan đến án lệ:</w:t>
      </w:r>
    </w:p>
    <w:p w14:paraId="280A7E56"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Khoản 2 Điều 46 Bộ luật Hình sự năm 1999 (tương ứng với khoản 2 Điều 51 Bộ luật Hình sự năm 2015, sửa đổi, bổ sung năm 2017);</w:t>
      </w:r>
    </w:p>
    <w:p w14:paraId="359D6FD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Điểm c mục 5 Nghị quyết 01/2000/NQ-HĐTP ngày 04/8/2000 hướng dẫn áp dụng một số quy định trong Phần chung của Bộ luật Hình sự năm 1999.</w:t>
      </w:r>
    </w:p>
    <w:p w14:paraId="73D7CF89" w14:textId="77777777" w:rsidR="000130D2" w:rsidRPr="00A64988" w:rsidRDefault="000130D2" w:rsidP="00A64988">
      <w:pPr>
        <w:spacing w:after="120" w:line="276" w:lineRule="auto"/>
        <w:ind w:firstLine="720"/>
        <w:jc w:val="both"/>
        <w:rPr>
          <w:rFonts w:ascii="Times New Roman" w:hAnsi="Times New Roman" w:cs="Times New Roman"/>
          <w:b/>
          <w:bCs/>
        </w:rPr>
      </w:pPr>
      <w:r w:rsidRPr="00A64988">
        <w:rPr>
          <w:rFonts w:ascii="Times New Roman" w:hAnsi="Times New Roman" w:cs="Times New Roman"/>
          <w:b/>
          <w:bCs/>
        </w:rPr>
        <w:t>Từ khóa của án lệ:</w:t>
      </w:r>
    </w:p>
    <w:p w14:paraId="3941AB76"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“Nộp lại tiền thu lợi bất chính”; “Tình tiết giảm nhẹ trách nhiệm hình sự”; “Đánh bạc”; “Tổ chức đánh bạc”.</w:t>
      </w:r>
    </w:p>
    <w:p w14:paraId="275BAEE7" w14:textId="77777777" w:rsidR="000130D2" w:rsidRPr="00A64988" w:rsidRDefault="000130D2" w:rsidP="00A64988">
      <w:pPr>
        <w:spacing w:after="120" w:line="276" w:lineRule="auto"/>
        <w:ind w:firstLine="720"/>
        <w:jc w:val="center"/>
        <w:rPr>
          <w:rFonts w:ascii="Times New Roman" w:hAnsi="Times New Roman" w:cs="Times New Roman"/>
          <w:b/>
          <w:bCs/>
        </w:rPr>
      </w:pPr>
      <w:r w:rsidRPr="00A64988">
        <w:rPr>
          <w:rFonts w:ascii="Times New Roman" w:hAnsi="Times New Roman" w:cs="Times New Roman"/>
          <w:b/>
          <w:bCs/>
        </w:rPr>
        <w:t>NỘI DUNG VỤ ÁN:</w:t>
      </w:r>
    </w:p>
    <w:p w14:paraId="03519004"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xml:space="preserve">Ngày 20/9/2016, Cơ quan Cảnh sát điều tra Công an tỉnh T phát hiện và bắt giữ một số đối tượng có hành vi tổ chức đánh bạc trái phép qua mạng Internet có quy mô lớn và nhiều đối tượng tham gia. Phương thức thực hiện hành vi tổ chức đánh bạc của nhóm đối tượng này là nhận tài khoản cá cược trên trang IBET, đem về chia thành nhiều tài khoản cấp dưới rồi giao cho các đối tượng cấp dưới để tổ chức đánh bạc, đánh bạc hoặc trực tiếp giao cho người đánh bạc trái phép qua mạng Internet. Đây là tài khoản cá cược bóng đá trái phép trên trang Web nước ngoài, sử dụng giao diện tiếng Anh chứa đựng một số tiền đô ảo (sau đây gọi là đô) và nhà cái cùng người nhận tài khoản thỏa thuận với nhau một đô này tương ứng với bao nhiêu tiền Việt Nam. Để tổ chức đánh bạc và đánh bạc trái phép qua mạng các đối tượng trong vụ án này lắp đặt máy tính có kết nối Internet, sử dụng máy tính xách tay, điện thoại di động có kết nối Wifi làm công cụ, phương tiện tổ chức, đánh bạc. Việc thanh toán tiền thắng thua giữa các </w:t>
      </w:r>
      <w:r w:rsidRPr="00A64988">
        <w:rPr>
          <w:rFonts w:ascii="Times New Roman" w:hAnsi="Times New Roman" w:cs="Times New Roman"/>
        </w:rPr>
        <w:lastRenderedPageBreak/>
        <w:t>đội được quy ước bằng tiền Việt Nam, giao nhận trực tiếp hoặc gửi nhờ giao nhận qua các đối tượng có quen biết. Nhà cái trả cho người chơi một khoản tiền hoa hồng qua tài khoản cấp trên thông qua mục Gross Comm. Để thu được lợi nhuận các đối tượng tổ chức đánh bạc trong vụ án này đều tăng mức quy đổi 1 đô lên cao hơn mức đã nhận (thực chất là hùn vốn, góp thêm tiền với nhà cái) đô đánh bạc với người chơi; đồng thời để khuyến khích người chơi, các đối tượng tổ chức đánh bạc còn tăng mức hoa hồng trả cho một đối tượng tài khoản lên gấp hai đến ba lần. Trong đó, hành vi của các đối tượng Hồ Công Nhật Q, Hồ Viết H, Nguyễn Mộng V cụ thể như sau:</w:t>
      </w:r>
    </w:p>
    <w:p w14:paraId="6B0E907D"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1. Đối với Hồ Công Nhật Q:</w:t>
      </w:r>
    </w:p>
    <w:p w14:paraId="28C9FD9B"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Tháng 02/2016, Q khai đã nhận từ đối tượng tên P (chưa rõ họ tên, địa chỉ) tài khoản cá độ bóng đá TVK2 thuộc trang mạng IBET, có số đô đặt cược là 3.000.000 đô. P và Q thống nhất quy ước một đô có giá trị là 5.000 đồng tiền Việt Nam, tiền hoa hồng P trả cho Q thông qua mục Gross Comm. Sau khi nhận tài khoản TVK2, Q đã tạo ra 19 tài khoản cấp dưới. Các tài khoản này Q đều cài đặt 5.000 đô/tài khoản và cấp lại cho các đối tượng đánh bạc hoặc tổ chức đánh bạc; trong đó Q cấp 03 tài khoản cho Nguyễn Mộng V, 03 tài khoản cho Hồ Viết H và cấp các tài khoản cho một số đối tượng khác, Q giữ lại 02 tài khoản rồi tạo ra nhiều tài khoản cấp dưới và tạo ra nhiều trang lẻ cấp cho người cá cược khi có nhu cầu.</w:t>
      </w:r>
    </w:p>
    <w:p w14:paraId="6812E6F7"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Quá trình điều tra, Cơ quan điều tra đã thu được tài liệu chi tiết của 07 tài khoản là: TVK204, TVK20B, TVK20K, TVK20N, TVK20P, TVK219 và TVK20S.</w:t>
      </w:r>
    </w:p>
    <w:p w14:paraId="383392C2"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1.1. Hành vi tổ chức đánh bạc:</w:t>
      </w:r>
    </w:p>
    <w:p w14:paraId="2D91EE1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Q cấp cho Hồ Viết H các tài khoản: TVK20B, TVK204, TVK20K với quy ước TVK204 là 10.000 đồng/đô, TVK20B và TVK20K là 7.000 đồng/đô. Từ tháng 6 đến tháng 9 năm 2016:</w:t>
      </w:r>
    </w:p>
    <w:p w14:paraId="5267215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Trên tài khoản TVK204 có số tiền đặt cược là 116.877 đô.</w:t>
      </w:r>
    </w:p>
    <w:p w14:paraId="59763F7F"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Trên tài khoản TVK20B có số tiền đặt cược là 261.819 đô.</w:t>
      </w:r>
    </w:p>
    <w:p w14:paraId="286EDCE1"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Trên tài khoản TVK20K có số tiền đặt cược là 131.060 đô.</w:t>
      </w:r>
    </w:p>
    <w:p w14:paraId="401C733D"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Q cấp cho Nguyễn Mộng V các tài khoản TVK20N, TVK20P, TVK20S với quy ước các tài khoản TVK20N và TVK20P là 7.000 đồng/đô, tài khoản TVK20S là 6.500 đồng/đô. Từ đầu tháng 6 đến tháng 9 năm 2016:</w:t>
      </w:r>
    </w:p>
    <w:p w14:paraId="1E7DBA49"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Trên tài khoản TVK20N có số tiền đặt cược là 28.583 đô.</w:t>
      </w:r>
    </w:p>
    <w:p w14:paraId="5860552A"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Trên tài khoản TVK20P có số tiền đặt cược là 152.542 đô.</w:t>
      </w:r>
    </w:p>
    <w:p w14:paraId="02B0138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Trên tài khoản TVK20S có số tiền đặt cược là 247.592 đô.</w:t>
      </w:r>
    </w:p>
    <w:p w14:paraId="37E9479B"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Q cấp cho đối tượng có tên Q1 (sinh sống tại Hoa Kỳ) tài khoản TVK219 với quy ước 6.000 đồng/đô. Từ tháng 6 đến tháng 9 năm 2016 tài khoản này có số tiền cược là 96.404 đô.</w:t>
      </w:r>
    </w:p>
    <w:p w14:paraId="0B6CD5F0"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Tổng cộng, Q phải chịu trách nhiệm hình sự về tội “Tổ chức đánh bạc” thông qua 07 tài khoản trên là (116.877 đô + 261.819 đô + 131.060 đô + 28.583 đô + 152.542 đô + 247.592 đô + 96.404 đô) x 5.000 đồng/đô = 5.174.385.000 đồng.</w:t>
      </w:r>
    </w:p>
    <w:p w14:paraId="69580D62"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Tiền hoa hồng Q nhận được thông qua Gross Comm là 8.759.400 đồng.</w:t>
      </w:r>
    </w:p>
    <w:p w14:paraId="72066774"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lastRenderedPageBreak/>
        <w:t>- Tiền hoa hồng Q đã trả cho H là 22.713.030 đồng. Tiền hoa hồng Q trả cho V là 10.533.887 đồng. Tiền hoa hồng Q trả cho Q1 là 2.656.080 đồng. Tổng cộng tiền hoa hồng Q đã trả cho cấp dưới và người chơi là 35.902.997 đồng.</w:t>
      </w:r>
    </w:p>
    <w:p w14:paraId="7ABBBAD5"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1.2. Hành vi đánh bạc:</w:t>
      </w:r>
    </w:p>
    <w:p w14:paraId="0EFB7A96"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Căn cứ tài liệu chi tiết, bảng kê tổng hợp và lời khai nhận của các bị cáo thì Q đã tăng việc quy đổi một điểm lên cao hơn mức đã nhận, cụ thể như sau:</w:t>
      </w:r>
    </w:p>
    <w:p w14:paraId="609A940C"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Phần giao cho H (gồm số điểm đã đánh và tiền thua phải trả):</w:t>
      </w:r>
    </w:p>
    <w:p w14:paraId="252E7C1C"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Tài khoản TVK204 [(116.877 đô + 43.451,05 đô) x (10.000 đồng-5.000 đồng)] = 801.640.250 đồng.</w:t>
      </w:r>
    </w:p>
    <w:p w14:paraId="035BF94B"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Tài khoản TVK20B [(261.819 đô + 98.676,27 đô) x (7.000 đồng- 5.000 đồng)] = 720.990.540 đồng.</w:t>
      </w:r>
    </w:p>
    <w:p w14:paraId="7A7771C8"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Tài khoản TVK20K [(131.060 đô + 41.797,44 đô) x (7.000 đồng - 5.000 đồng)] = 345.714.880 đồng.</w:t>
      </w:r>
    </w:p>
    <w:p w14:paraId="5355070E"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Phần giao cho V:</w:t>
      </w:r>
    </w:p>
    <w:p w14:paraId="7FFC9899"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Tài khoản TVK20N [(28.583 đô + 6.617,7 đô) x (7.000 đồng - 5.000 đồng)] = 70.401.400 đồng.</w:t>
      </w:r>
    </w:p>
    <w:p w14:paraId="187710BB"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Tài khoản TVK20P [(152.542 đô + 61.009,59 đô) x (7.000 đồng - 5.000 đồng)] = 427.103.180 đồng.</w:t>
      </w:r>
    </w:p>
    <w:p w14:paraId="2AC9A62F"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Tài khoản TVK20S [(247.592 đô + 99.584,13 đô) x (6.500 đồng - 5.000 đồng)] = 520.764.195 đồng.</w:t>
      </w:r>
    </w:p>
    <w:p w14:paraId="14F92128"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Phần giao cho Q1: Tài khoản TVK219 [(96.404 đô + 42.802,9 đô) x (6.000 đồng - 5.000 đồng)] = 139.206.900 đồng.</w:t>
      </w:r>
    </w:p>
    <w:p w14:paraId="3479CB55"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Tổng cộng số tiền Q dùng để đánh bạc trên tài khoản TVK2 là 3.025.821.385 đồng. Trong đó có 74 lượt đánh có số tiền nhận cược và thua cược phải trả từ 5.000.000 đồng/lượt trở lên với tổng số tiền đánh bạc là 692.170.780 đồng; còn lại 13.480 lượt đánh có số tiền nhận cược và thua cược mỗi lượt dưới 5.000.000 đồng/lượt với tổng số tiền là 2.333.650.605 đồng nên không bị xử lý trách nhiệm hình sự.</w:t>
      </w:r>
    </w:p>
    <w:p w14:paraId="3F7A408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Thông qua việc đánh bạc, Q thắng trên 07 tài khoản này là 884.599.190 đồng, Q thua là 825.636.385 đồng, nên Q thu lợi 58.962.805 đồng.</w:t>
      </w:r>
    </w:p>
    <w:p w14:paraId="5009CA1D"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2. Đối với Hồ Viết H:</w:t>
      </w:r>
    </w:p>
    <w:p w14:paraId="229BA349"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Hồ Viết H nhận của Hồ Công Nhật Q các tài khoản TVK204 (1 đô = 10.000 đồng), TVK20B (1 đô = 7.000 đồng), TVK20K (1 đô = 7.000 đồng) sau đó H cấp lại TVK20B cho Châu Anh T và quy ước 01 đô là 12.000 đồng để T chia thành nhiều trang lẻ cấp cho người chơi. H trả hoa hồng cho T bằng mức Gross Comm x 4. Tài khoản TVK204, H tạo ra 05 tài khoản cấp dưới và từ 05 tài khoản này tạo ra 13 trang lẻ để trực tiếp đánh bạc. Tài khoản TVK20K, H cũng tạo ra 03 tài khoản cấp dưới và từ 03 tài khoản này tạo ra 12 trang lẻ để trực tiếp đánh bạc.</w:t>
      </w:r>
    </w:p>
    <w:p w14:paraId="47D3FED0"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2.1. Hành vi tổ chức đánh bạc:</w:t>
      </w:r>
    </w:p>
    <w:p w14:paraId="2AE33C7E"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lastRenderedPageBreak/>
        <w:t>Căn cứ các tài liệu chi tiết, bảng kê tổng hợp và lời khai nhận của các bị cáo xác định hành vi tổ chức đánh bạc của H cụ thể như sau: Sau khi nhận tài khoản TVK20B với mức 7.000 đồng/đô, H cấp lại cho Châu Anh T; từ ngày 01/3/2016 đến ngày 20/9/2016, trên tài khoản TVK20B có tổng số tiền đặt cược là 261.819 đô x 7.000 đồng = 1.832.733.000 đồng. Tiền hoa hồng H nhận được từ Q là 11.279.310 đồng; tiền hoa hồng H phải trả cho T là 25.781.280 đồng, nên H không thu lợi từ hành vi tổ chức đánh bạc.</w:t>
      </w:r>
    </w:p>
    <w:p w14:paraId="6A9479D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2.2. Hành vi đánh bạc:</w:t>
      </w:r>
    </w:p>
    <w:p w14:paraId="5D127B80"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Hành vi đánh bạc thông qua Châu Anh T:</w:t>
      </w:r>
    </w:p>
    <w:p w14:paraId="2918D44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Do H cấp tài khoản TVK20B cho T với mức 12.000 đồng/đô nên H đã góp vốn với nhà cái đánh bạc với cấp dưới là 5.000 đồng/đô. Như vậy, số tiền H sử dụng đánh bạc trên tài khoản này là [(261.819 đô + 98.676,27 đô (tiền H thua)] x 5.000 đồng = 1.802.476.350 đồng. Trong đó có 61 lượt tiền nhận cược và tiền thua cược là từ 5.000.000 đồng/lượt trở lên với tổng số tiền đánh bạc là 643.134.000 đồng; còn lại 7.381 lượt tiền nhận cược và tiền thua cược dưới 5.000.000 đồng/lượt với tổng số tiền là 1.159.342.350 đồng. H thắng trên tài khoản này là 507.499.700 đồng, H thua là 493.381.350 đồng, nên H thu lợi là 14.118.350 đồng.</w:t>
      </w:r>
    </w:p>
    <w:p w14:paraId="3893E45C"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Hành vi đánh bạc với nhà cái:</w:t>
      </w:r>
    </w:p>
    <w:p w14:paraId="1CAC64FB"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Các tài khoản TVK204 và TVK20K sau khi nhận về, H tạo ra nhiều trang lẻ rồi trực tiếp đánh bạc với nhà cái. Từ ngày 01/3/2016 đến ngày 20/9/2016, trên 02 tài khoản này có tổng số đô đã đặt cược là 247.937 đô (TVK204 là 116.877 đô, TVK20K là 131.060 đô). Tiền H thắng trên 02 tài khoản này là 85.248,49 đô (TVK204 là 43.451,05 đô, TVK20K là 41.797,44 đô) Như vậy, H đã đánh bạc trên tài khoản TVK204 là (116,877 đô + 43.451,05 đô) x 10.000 đồng = 1.603.280.500 đồng và đánh bạc trên tài khoản TVK20K là (131.060 đô + 41.797,44 đô) x 7.000 đồng = 1.210.002.080 đồng.</w:t>
      </w:r>
    </w:p>
    <w:p w14:paraId="1CAAB692"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Trên 02 tài khoản này có 115 lượt đánh có số tiền cá cược và số tiền thắng cược từ 5.000.000 đồng/lượt trở lên với tổng số tiền đánh bạc là 1.282.290.840 đồng; còn lại 3.187 lượt đánh có số tiền cược và tiền thắng cược dưới 5.000.000 đồng/lượt với tổng số tiền là 1.530.991.740 đồng. Tiền H thắng khi đánh bạc trên 02 tài khoản này là 727.092.580 đồng, tiền H thua là 772.741.000 đồng, nên H không thu lợi từ hành vi đánh bạc.</w:t>
      </w:r>
    </w:p>
    <w:p w14:paraId="5C2ABA28"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Tổng cộng số tiền H phải chịu trách nhiệm hình sự về tội đánh bạc trên 03 tài khoản này là 643.134.000 đồng + 1.282.290.840 đồng = 1.925.424.840 đồng; còn lại 10.568 lượt đánh với số tiền 2.690.334.090 đồng do có số tiền đặt cược dưới 5.000.000 đồng/lượt nên không bị xử lý trách nhiệm hình sự. Tiền hoa hồng H nhận được khi đánh bạc là 11.433.720 đồng.</w:t>
      </w:r>
    </w:p>
    <w:p w14:paraId="6E34766E"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3. Đối với Nguyễn Mộng V:</w:t>
      </w:r>
    </w:p>
    <w:p w14:paraId="6DB05B5C"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Nguyễn Mộng V nhận từ Hồ Công Nhật Q 03 tài khoản: TVK20N (1 đô = 7.000 đồng), TVK20P (01 đô = 7.000 đồng) và TVK20S (01 đô = 6.500 đồng), sau đó V cấp lại tài khoản TVK20P cho Nguyễn Văn B. V trả tiền hoa hồng cho B là 1% trên tổng số tiền đã đặt cược trên tài khoản. Các tài khoản còn lại V tạo ra các tài khoản cấp dưới sau đó tiếp tục tạo ra 10 trang lẻ để trực tiếp đánh bạc với nhà cái.</w:t>
      </w:r>
    </w:p>
    <w:p w14:paraId="21ADCCF0"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3.1. Hành vi tổ chức đánh bạc:</w:t>
      </w:r>
    </w:p>
    <w:p w14:paraId="239BD80C"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lastRenderedPageBreak/>
        <w:t>V nhận từ Q tài khoản TVK20P với quy ước 01 đô = 7.000 đồng. Từ ngày 01/9/2016 đến ngày 20/9/2016, trên tài khoản TVK20P do V quản lý có tổng số tiền đặt cược là 152.542 đô. Như vậy, V phải chịu trách nhiệm hình sự về tội “Tổ chức đánh bạc” là 152.542 đô x 7.000 đồng = 1.067.794.000 đồng.</w:t>
      </w:r>
    </w:p>
    <w:p w14:paraId="2CBC1B6D"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Tiền hoa hồng V nhận được là 5.947.200 đồng, tiền hoa hồng V trả cho B là 12.203.360 đồng, nên V không thu lợi từ hành vi này.</w:t>
      </w:r>
    </w:p>
    <w:p w14:paraId="477500FC"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3.2. Hành vi đánh bạc:</w:t>
      </w:r>
    </w:p>
    <w:p w14:paraId="6EB39BF6"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Hành vi đánh bạc thông qua Nguyễn Văn B:</w:t>
      </w:r>
    </w:p>
    <w:p w14:paraId="7B731317"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Do V cấp tài khoản TVK20P cho B với quy ước 1 đô = 8.000 đồng nên V đã góp vốn với nhà cái đánh bạc với cấp dưới là 1.000 đồng/01 đô, số tiền V đánh bạc trên tài khoản này là 213.551.590 đồng, nhưng không có lượt đánh nào có số tiền nhận cược và tiền thua cược từ 5.000.000 đồng/lượt. Tổng số tiền V thắng bạc là 1.374.920 đồng.</w:t>
      </w:r>
    </w:p>
    <w:p w14:paraId="08B05AC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Hành vi đánh bạc với nhà cái:</w:t>
      </w:r>
    </w:p>
    <w:p w14:paraId="709692A0"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Các tài khoản TVK 20N, TVK20S sau khi nhận về V tạo ra 10 trang lẻ rồi trực tiếp đánh bạc với cấp trên. Từ ngày 01/8/2016 đến ngày 20/9/2016, trên tài khoản TVK20N có tổng số tiền đặt cược là 28.583 đô, V thắng cược 6.617,7 đô, V thua 9.617 đô, tổng cộng V đã đánh bạc trên tài khoản này là (28.583 đô + 6.617,7 đô) x 7.000 đồng = 246.404.900 đồng; trên tài khoản TVK20S, có tổng số tiền đặt cược là 247.592 đô, V thắng cược 99.584,13 đô, V thua 112.753 đô, tổng số tiền V đã đánh bạc trên tài khoản này là (247.592 đô + 99.584,13 đô) x 6.500 đồng = 2.256.644.845 đồng.</w:t>
      </w:r>
    </w:p>
    <w:p w14:paraId="5B83EF45"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Như vậy, tổng số tiền V đã đánh bạc 02 tài khoản trên là: 246.404.900 + 2.256.644.845 = 2.503.049.845 đồng. Trong đó có 173 lượt số tiền đặt cược và tiền thắng cược là từ 5.000.000 đồng/lượt trở lên với tổng số tiền đánh bạc là 1.938.520.070 đồng; còn lại 286 lượt số tiền đặt cược và tiền thắng cược là dưới 5.000.000 đồng/lượt với số tiền là 564.529.675 đồng.</w:t>
      </w:r>
    </w:p>
    <w:p w14:paraId="6F7F20AD"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Số tiền V thắng bạc trên 02 tài khoản này là 693.620.745 đồng, V thua là 800.213.500 đồng, nên V không thu lợi. Tiền hoa hồng V nhận được từ Q của 02 tài khoản này là 4.586.688 đồng.</w:t>
      </w:r>
    </w:p>
    <w:p w14:paraId="7B157B4A"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Tổng cộng số tiền V phải chịu trách nhiệm hình sự khi đánh bạc trên 03 tài khoản này là 1.938.520.070 đồng; còn lại 1.246 lượt đánh với số tiền 778.801.265 đồng do số tiền đặt cược và tiền thắng cược mỗi lượt đều dưới 5.000.000 đồng/lượt nên không bị truy cứu trách nhiệm hình sự.</w:t>
      </w:r>
    </w:p>
    <w:p w14:paraId="0227BC3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Tại Bản án hình sự sơ thẩm số 04/2018/HSST ngày 16/01/2018, Tòa án nhân dân tỉnh Thừa Thiên Huế đã quyết định:</w:t>
      </w:r>
    </w:p>
    <w:p w14:paraId="496B9CCF"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Áp dụng khoản 1 Điều 249; các điểm b, p khoản 1 Điều 46 Bộ luật Hình sự năm 1999, xử phạt Hồ Công Nhật Q 01 năm 03 tháng tù về tội “Tổ chức đánh bạc”. Áp dụng điểm b khoản 2 Điều 248; các điểm b, o, p khoản 1 Điều 46; Điều 47 Bộ luật Hình sự năm 1999, xử phạt Hồ Công Nhật Q 10 tháng tù về tội “Đánh bạc”.</w:t>
      </w:r>
    </w:p>
    <w:p w14:paraId="406B9874"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xml:space="preserve">Áp dụng khoản 1 Điều 249; các điểm b, p khoản 1, khoản 2 Điều 46; Điều 47 Bộ luật Hình sự năm 1999, xử phạt Hồ Viết H 09 tháng tù về tội “Tổ chức đánh bạc”. Áp dụng điểm b </w:t>
      </w:r>
      <w:r w:rsidRPr="00A64988">
        <w:rPr>
          <w:rFonts w:ascii="Times New Roman" w:hAnsi="Times New Roman" w:cs="Times New Roman"/>
        </w:rPr>
        <w:lastRenderedPageBreak/>
        <w:t>khoản 2 Điều 248; điểm b, o, p khoản 1, khoản 2 Điều 46, Điều 47 Bộ luật Hình sự năm 1999, xử phạt Hồ Viết H 06 tháng tù về tội “Đánh bạc”.</w:t>
      </w:r>
    </w:p>
    <w:p w14:paraId="7AC47028"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Áp dụng khoản 1 Điều 249; các điểm b, p khoản 1, khoản 2 Điều 46; Điều 47 Bộ luật Hình sự năm 1999, xử phạt Nguyễn Mộng V 06 tháng tù về tội “Tổ chức đánh bạc”. Áp dụng điểm b khoản 2 Điều 248; các điểm b, o, p khoản 1, khoản 2 Điều 46; Điều 47 Bộ luật Hình sự năm 1999, xử phạt Nguyễn Mộng V 06 tháng tù về tội “Đánh bạc”.</w:t>
      </w:r>
    </w:p>
    <w:p w14:paraId="5D0F9C7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Áp dụng Điều 50 Bộ luật Hình sự, tổng hợp hình phạt, buộc các bị cáo trên phải chấp hành hình phạt chung của cả hai tội, cụ thể: đối với Q là 02 năm 01 tháng tù, H là 01 năm 03 tháng tù và V là 01 năm tù.</w:t>
      </w:r>
    </w:p>
    <w:p w14:paraId="3AF1D39A"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Ngày 30/01/2018, Hồ Công Nhật Q, Hồ Viết H và Nguyễn Mộng V kháng cáo xin được hưởng án treo.</w:t>
      </w:r>
    </w:p>
    <w:p w14:paraId="6A4F7D08"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Tại Bản án hình sự phúc thẩm số 158/2018/HS-PT ngày 27/6/2018, Tòa án nhân dân cấp cao tại Đà Nẵng đã quyết định áp dụng khoản 1 Điều 249; điểm b khoản 2 Điều 248; các điểm b, o, p khoản 1, khoản 2 Điều 46; Điều 47; Điều 50 Bộ luật Hình sự năm 1999, xử phạt:</w:t>
      </w:r>
    </w:p>
    <w:p w14:paraId="067C7DB1"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Hồ Công Nhật Q 09 tháng tù về tội “Tổ chức đánh bạc” và 06 tháng tù về tội “Đánh bạc”. Tổng hợp hình phạt, buộc Q phải chấp hành hình phạt chung của cả hai tội là 15 tháng tù.</w:t>
      </w:r>
    </w:p>
    <w:p w14:paraId="70EEA459"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Hồ Viết H 05 tháng tù về tội “Tổ chức đánh bạc” và 04 tháng tù về tội “Đánh bạc”. Tổng hợp hình phạt, buộc H phải chấp hành hình phạt chung của cả hai tội là 09 tháng tù.</w:t>
      </w:r>
    </w:p>
    <w:p w14:paraId="0E23DB41"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Nguyễn Mộng V 04 tháng 19 ngày tù về tội “Tổ chức đánh bạc” và 04 tháng tù về tội “Đánh bạc”. Tổng hợp hình phạt, buộc V phải chấp hành hình phạt chung của cả hai tội là 08 tháng 19 ngày tù.</w:t>
      </w:r>
    </w:p>
    <w:p w14:paraId="109EF5E7"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Tại Quyết định số 03/2019/KN-HS ngày 19/6/2019, Chánh án Tòa án nhân dân tối cao đã kháng nghị Bản án hình sự phúc thẩm số 158/2018/HS-PT ngày 27/6/2018 của Tòa án nhân dân cấp cao tại Đà Nẵng; đề nghị Hội đồng Thẩm phán Tòa án nhân dân tối cao xét xử giám đốc thẩm, hủy Bản án hình sự phúc thẩm nêu trên và Bản án hình sự sơ thẩm số 04/2018/HSST ngày 16/01/2018 của Tòa án nhân dân tỉnh Thừa Thiên Huế về phần hình phạt chính và tổng hợp hình phạt đối với Hồ Công Nhật Q, Hồ Viết H, Nguyễn Mộng V; giao hồ sơ vụ án cho Tòa án nhân dân tỉnh Thừa Thiên Huế xét xử sơ thẩm lại theo đúng quy định của pháp luật.</w:t>
      </w:r>
    </w:p>
    <w:p w14:paraId="3D4C559E"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Tại phiên tòa giám đốc thẩm, đại diện Viện kiểm sát nhân dân tối cao nhất trí với quyết định kháng nghị của Chánh án Tòa án nhân dân tối cao.</w:t>
      </w:r>
    </w:p>
    <w:p w14:paraId="347D58CE" w14:textId="77777777" w:rsidR="000130D2" w:rsidRPr="00A64988" w:rsidRDefault="000130D2" w:rsidP="00A64988">
      <w:pPr>
        <w:spacing w:after="120" w:line="276" w:lineRule="auto"/>
        <w:ind w:firstLine="720"/>
        <w:jc w:val="center"/>
        <w:rPr>
          <w:rFonts w:ascii="Times New Roman" w:hAnsi="Times New Roman" w:cs="Times New Roman"/>
          <w:b/>
          <w:bCs/>
        </w:rPr>
      </w:pPr>
      <w:r w:rsidRPr="00A64988">
        <w:rPr>
          <w:rFonts w:ascii="Times New Roman" w:hAnsi="Times New Roman" w:cs="Times New Roman"/>
          <w:b/>
          <w:bCs/>
        </w:rPr>
        <w:t>NHẬN ĐỊNH CỦA TÒA ÁN:</w:t>
      </w:r>
    </w:p>
    <w:p w14:paraId="47C49879"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xml:space="preserve">[1] Hồ Công Nhật Q nhận một tài khoản cá độ bóng đá thuộc trang mạng IBET về chia nhỏ thành 19 tài khoản. Q giữ lại 02 tài khoản, các tài khoản còn lại Q giao cho Hồ Viết H, Nguyễn Mộng V và một số đối tượng khác để tổ chức đánh bạc và đánh bạc. Sau khi Hồ Viết H và Nguyễn Mộng V nhận mỗi người 03 tài khoản, H và V đều giữ lại 02 tài khoản và cấp lại 01 tài khoản cho Châu Anh T, Nguyễn Văn B để tổ chức đánh bạc và đánh bạc. Trong vụ án này, tổng số tiền mà Q bị quy kết về tội tổ chức đánh bạc là 5.174.385.000 đồng, H là 1.832.733.000 đồng và V là 1.067.794.000 đồng. Hành vi tổ chức đánh bạc của các bị cáo </w:t>
      </w:r>
      <w:r w:rsidRPr="00A64988">
        <w:rPr>
          <w:rFonts w:ascii="Times New Roman" w:hAnsi="Times New Roman" w:cs="Times New Roman"/>
        </w:rPr>
        <w:lastRenderedPageBreak/>
        <w:t>thuộc trường hợp “quy mô lớn” quy định tại khoản 1 Điều 249 Bộ luật Hình sự năm 1999, có khung hình phạt tù từ 01 năm đến 05 năm.</w:t>
      </w:r>
    </w:p>
    <w:p w14:paraId="5C1A384A"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[2] Từ các tài khoản giữ lại, H và V tạo ra nhiều trang lẻ rồi trực tiếp đánh bạc với nhà cái. Đồng thời, Q, H và V cũng tăng mức quy đổi 01 đô lên cao hơn mức đã nhận khi giao tài khoản cho người khác nên Q, H và V đã có hành vi đánh bạc với người chơi. Trong tổng số lượt đánh bạc mà Cơ quan điều tra thu giữ được số liệu thì Q phải chịu trách nhiệm hình sự đối với 74 lượt đánh có số tiền nhận cược và thua cược phải trả từ 5.000.000 đồng/lượt trở lên với tổng số tiền là 692.170.780 đồng; H phải chịu trách nhiệm hình sự đối với 176 lượt đánh có số tiền nhận cược và thua cược phải trả từ 5.000.000 đồng/lượt trở lên với tổng số tiền là 1.925.424.840 đồng; V phải chịu trách nhiệm hình sự đối với 173 lượt đánh có số tiền nhận cược và thua cược phải trả từ 5.000.000 đồng/lượt trở lên với tổng số tiền là 1.938.520.070 đồng. Các bị cáo Q, H, V bị quy kết về tội “Đánh bạc” theo quy định tại khoản 2 Điều 248 Bộ luật Hình sự, có khung hình phạt tù từ 02 năm đến 07 năm, là tội phạm nghiêm trọng.</w:t>
      </w:r>
    </w:p>
    <w:p w14:paraId="74EE6305"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[3] Khi xét xử vụ án, Tòa án cấp sơ thẩm áp dụng điểm b khoản 1 Điều 46 Bộ luật Hình sự đối với các bị cáo trên là không chính xác, vì việc nộp lại tiền thu lợi bất chính không phải là tình tiết giảm nhẹ trách nhiệm hình sự theo điểm b khoản 1 Điều 46 Bộ luật Hình sự mà là tình tiết giảm nhẹ theo khoản 2 Điều 46 Bộ luật Hình sự. Mặt khác, Tòa án cấp sơ thẩm áp dụng tình tiết “người phạm tội tự thú” làm tình tiết giảm nhẹ trách nhiệm hình sự cho các bị cáo theo điểm o khoản 1 Điều 46 Bộ luật Hình sự là không đúng pháp luật, bởi lẽ: Q và V bị bắt theo Lệnh bắt khẩn cấp về hành vi sử dụng Internet đánh bạc trái phép; sau khi bị bắt, Q khai nhận hành vi phạm tội. Đến ngày 04/10/2016, H bị khởi tố về các tội “Đánh bạc”, “Tổ chức đánh bạc” và bị bắt theo Lệnh bắt bị can để tạm giam. Trong quá trình điều tra vụ án, việc các bị cáo khai báo về hành vi đánh bạc chỉ là tình tiết thành khẩn khai báo mà không phải là trường hợp tự thú. Ngoài ra, các bị cáo thực hiện nhiều lượt đánh bạc với số tiền từ 5.000.000 đồng trở lên nhưng Tòa án cấp sơ thẩm không áp dụng tình tiết tăng nặng trách nhiệm hình sự quy định tại điểm g (phạm tội nhiều lần) khoản 1 Điều 48 Bộ luật Hình sự đối với Q, H và V là thiếu sót. Do đó, Tòa án cấp sơ thẩm áp dụng Điều 47 Bộ luật Hình sự đối với các bị cáo này là không có căn cứ, xử phạt Q 01 năm 03 tháng tù, H 09 tháng tù, V 06 tháng tù đều về tội “Tổ chức đánh bạc” và xử phạt Q 10 tháng tù, H 06 tháng tù, V 06 tháng tù đều về tội “Đánh bạc” (dưới mức thấp nhất của khung hình phạt) là quá nhẹ, không đảm bảo tính nghiêm minh của pháp luật.</w:t>
      </w:r>
    </w:p>
    <w:p w14:paraId="7859A57B"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[4] Tòa án cấp phúc thẩm không phát hiện ra sai lầm của Tòa án cấp sơ thẩm, quá nhấn mạnh một số tình tiết giảm nhẹ đã được Tòa án cấp sơ thẩm xem xét áp dụng như việc các bị cáo nộp lại số tiền thu lợi bất chính, là lao động chính trong gia đình, con còn nhỏ; tại cấp phúc thẩm có thêm tình tiết như các bị cáo đã nộp đủ tiền phạt bổ sung, bị cáo Q còn nộp đủ tiền thu lợi bất chính, bố Q có công sức đóng góp tại địa phương là tình tiết giảm nhẹ mới không đáng kể, từ đó giảm hình phạt cho các bị cáo, xử phạt Q 09 tháng tù, H 05 tháng tù và V 04 tháng 19 ngày tù đều về tội “Tổ chức đánh bạc” và xử phạt Q 06 tháng tù, H 04 tháng tù, V 04 tháng tù về tội “Đánh bạc” là sai lầm nghiêm trọng trong việc áp dụng pháp luật, không tương xứng với tính chất, mức độ phạm tội và vai trò của các bị cáo trong vụ án, không đáp ứng được yêu cầu đấu tranh, phòng chống đối với loại tội phạm này.</w:t>
      </w:r>
    </w:p>
    <w:p w14:paraId="222E6AD4"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 xml:space="preserve">Vì các lẽ trên, căn cứ Điều 382, Điều 388 và Điều 391 Bộ luật Tố tụng hình sự năm </w:t>
      </w:r>
      <w:r w:rsidRPr="00A64988">
        <w:rPr>
          <w:rFonts w:ascii="Times New Roman" w:hAnsi="Times New Roman" w:cs="Times New Roman"/>
        </w:rPr>
        <w:lastRenderedPageBreak/>
        <w:t>2015;</w:t>
      </w:r>
    </w:p>
    <w:p w14:paraId="69C50654" w14:textId="77777777" w:rsidR="000130D2" w:rsidRPr="00A64988" w:rsidRDefault="000130D2" w:rsidP="00A64988">
      <w:pPr>
        <w:spacing w:after="120" w:line="276" w:lineRule="auto"/>
        <w:ind w:firstLine="720"/>
        <w:jc w:val="center"/>
        <w:rPr>
          <w:rFonts w:ascii="Times New Roman" w:hAnsi="Times New Roman" w:cs="Times New Roman"/>
          <w:b/>
          <w:bCs/>
        </w:rPr>
      </w:pPr>
      <w:r w:rsidRPr="00A64988">
        <w:rPr>
          <w:rFonts w:ascii="Times New Roman" w:hAnsi="Times New Roman" w:cs="Times New Roman"/>
          <w:b/>
          <w:bCs/>
        </w:rPr>
        <w:t>QUYẾT ĐỊNH:</w:t>
      </w:r>
    </w:p>
    <w:p w14:paraId="4690B103"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1. Chấp nhận Quyết định kháng nghị số 03/2019/KN-HS ngày 19/6/2019 của Chánh án Tòa án nhân dân tối cao.</w:t>
      </w:r>
    </w:p>
    <w:p w14:paraId="37E39A87" w14:textId="77777777" w:rsidR="000130D2" w:rsidRPr="00A64988" w:rsidRDefault="000130D2" w:rsidP="00A64988">
      <w:pPr>
        <w:spacing w:after="120" w:line="276" w:lineRule="auto"/>
        <w:ind w:firstLine="720"/>
        <w:jc w:val="both"/>
        <w:rPr>
          <w:rFonts w:ascii="Times New Roman" w:hAnsi="Times New Roman" w:cs="Times New Roman"/>
        </w:rPr>
      </w:pPr>
      <w:r w:rsidRPr="00A64988">
        <w:rPr>
          <w:rFonts w:ascii="Times New Roman" w:hAnsi="Times New Roman" w:cs="Times New Roman"/>
        </w:rPr>
        <w:t>2. Hủy Bản án hình sự phúc thẩm số 158/2018/HS-PT ngày 27/6/2018 của Tòa án nhân dân cấp cao tại Đà Nẵng và Bản án hình sự sơ thẩm số 04/2018/HSST ngày 16/01/2018 của Tòa án nhân dân tỉnh Thừa Thiên Huế về phần hình phạt chính và tổng hợp hình phạt đối với Hồ Công Nhật Q, Hồ Viết H và Nguyễn Mộng V; giao hồ sơ vụ án cho Tòa án nhân dân tỉnh Thừa Thiên Huế để xét xử sơ thẩm lại theo đúng quy định của pháp luật.</w:t>
      </w:r>
    </w:p>
    <w:p w14:paraId="31AC1019" w14:textId="77777777" w:rsidR="000130D2" w:rsidRPr="00A64988" w:rsidRDefault="000130D2" w:rsidP="00A64988">
      <w:pPr>
        <w:spacing w:after="120" w:line="276" w:lineRule="auto"/>
        <w:ind w:firstLine="720"/>
        <w:jc w:val="center"/>
        <w:rPr>
          <w:rFonts w:ascii="Times New Roman" w:hAnsi="Times New Roman" w:cs="Times New Roman"/>
          <w:b/>
          <w:bCs/>
        </w:rPr>
      </w:pPr>
      <w:r w:rsidRPr="00A64988">
        <w:rPr>
          <w:rFonts w:ascii="Times New Roman" w:hAnsi="Times New Roman" w:cs="Times New Roman"/>
          <w:b/>
          <w:bCs/>
        </w:rPr>
        <w:t>NỘI DUNG ÁN LỆ</w:t>
      </w:r>
    </w:p>
    <w:p w14:paraId="30F26DDE" w14:textId="77777777" w:rsidR="000130D2" w:rsidRPr="00A64988" w:rsidRDefault="000130D2" w:rsidP="00A64988">
      <w:pPr>
        <w:spacing w:after="120" w:line="276" w:lineRule="auto"/>
        <w:ind w:firstLine="720"/>
        <w:jc w:val="both"/>
        <w:rPr>
          <w:rFonts w:ascii="Times New Roman" w:hAnsi="Times New Roman" w:cs="Times New Roman"/>
          <w:i/>
          <w:iCs/>
        </w:rPr>
      </w:pPr>
      <w:r w:rsidRPr="00A64988">
        <w:rPr>
          <w:rFonts w:ascii="Times New Roman" w:hAnsi="Times New Roman" w:cs="Times New Roman"/>
          <w:i/>
          <w:iCs/>
        </w:rPr>
        <w:t>“[3] Khi xét xử vụ án, Tòa án cấp sơ thẩm áp dụng điểm b khoản 1 Điều 46 Bộ luật Hình sự đối với các bị cáo trên là không chính xác, vì việc nộp lại tiền thu lợi bất chính không phải là tình tiết giảm nhẹ trách nhiệm hình sự theo điểm b khoản 1 Điều 46 Bộ luật Hình sự mà là tình tiết giảm nhẹ theo khoản 2 Điều 46 Bộ luật Hình sự...”</w:t>
      </w:r>
    </w:p>
    <w:bookmarkEnd w:id="0"/>
    <w:p w14:paraId="5F6DAEDE" w14:textId="77777777" w:rsidR="00143B16" w:rsidRPr="00A64988" w:rsidRDefault="00143B16" w:rsidP="00A64988">
      <w:pPr>
        <w:spacing w:line="276" w:lineRule="auto"/>
        <w:rPr>
          <w:rFonts w:ascii="Times New Roman" w:hAnsi="Times New Roman" w:cs="Times New Roman"/>
        </w:rPr>
      </w:pPr>
    </w:p>
    <w:sectPr w:rsidR="00143B16" w:rsidRPr="00A64988" w:rsidSect="00D9524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D9ADF" w14:textId="77777777" w:rsidR="00A954A9" w:rsidRDefault="00A954A9" w:rsidP="00BE1DA0">
      <w:r>
        <w:separator/>
      </w:r>
    </w:p>
  </w:endnote>
  <w:endnote w:type="continuationSeparator" w:id="0">
    <w:p w14:paraId="5B902121" w14:textId="77777777" w:rsidR="00A954A9" w:rsidRDefault="00A954A9"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BBB8D" w14:textId="77777777" w:rsidR="00A954A9" w:rsidRDefault="00A954A9" w:rsidP="00BE1DA0">
      <w:r>
        <w:separator/>
      </w:r>
    </w:p>
  </w:footnote>
  <w:footnote w:type="continuationSeparator" w:id="0">
    <w:p w14:paraId="74FA6D28" w14:textId="77777777" w:rsidR="00A954A9" w:rsidRDefault="00A954A9" w:rsidP="00BE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130D2"/>
    <w:rsid w:val="000308EC"/>
    <w:rsid w:val="00056888"/>
    <w:rsid w:val="00057A94"/>
    <w:rsid w:val="00074A07"/>
    <w:rsid w:val="00087799"/>
    <w:rsid w:val="000A4933"/>
    <w:rsid w:val="000D1698"/>
    <w:rsid w:val="000D17F7"/>
    <w:rsid w:val="000D2662"/>
    <w:rsid w:val="000D3545"/>
    <w:rsid w:val="000D7BCB"/>
    <w:rsid w:val="000F3013"/>
    <w:rsid w:val="000F42E6"/>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4077CB"/>
    <w:rsid w:val="00414810"/>
    <w:rsid w:val="0043445A"/>
    <w:rsid w:val="00442AB3"/>
    <w:rsid w:val="0044579F"/>
    <w:rsid w:val="00483D6F"/>
    <w:rsid w:val="00490FCB"/>
    <w:rsid w:val="004B4BF5"/>
    <w:rsid w:val="004D7B87"/>
    <w:rsid w:val="004D7C8A"/>
    <w:rsid w:val="004E660B"/>
    <w:rsid w:val="004F4717"/>
    <w:rsid w:val="00507AE2"/>
    <w:rsid w:val="00507B3F"/>
    <w:rsid w:val="00514D99"/>
    <w:rsid w:val="0051757A"/>
    <w:rsid w:val="0053783A"/>
    <w:rsid w:val="00562560"/>
    <w:rsid w:val="005656DC"/>
    <w:rsid w:val="00574EC5"/>
    <w:rsid w:val="00577709"/>
    <w:rsid w:val="005B0345"/>
    <w:rsid w:val="005B18F1"/>
    <w:rsid w:val="005D615A"/>
    <w:rsid w:val="005F2FFE"/>
    <w:rsid w:val="005F4257"/>
    <w:rsid w:val="00605CFA"/>
    <w:rsid w:val="00622756"/>
    <w:rsid w:val="006236AC"/>
    <w:rsid w:val="0063029B"/>
    <w:rsid w:val="006334AF"/>
    <w:rsid w:val="00645412"/>
    <w:rsid w:val="00647671"/>
    <w:rsid w:val="006519A7"/>
    <w:rsid w:val="0065469D"/>
    <w:rsid w:val="00671CF2"/>
    <w:rsid w:val="006903B9"/>
    <w:rsid w:val="006911BA"/>
    <w:rsid w:val="006C7D44"/>
    <w:rsid w:val="006D5E07"/>
    <w:rsid w:val="006E7C2C"/>
    <w:rsid w:val="006F11EE"/>
    <w:rsid w:val="00732353"/>
    <w:rsid w:val="0073249D"/>
    <w:rsid w:val="00747BB0"/>
    <w:rsid w:val="0075370E"/>
    <w:rsid w:val="00762D83"/>
    <w:rsid w:val="00770050"/>
    <w:rsid w:val="007A17F9"/>
    <w:rsid w:val="007A61D1"/>
    <w:rsid w:val="007B401C"/>
    <w:rsid w:val="007C5223"/>
    <w:rsid w:val="008018EA"/>
    <w:rsid w:val="00804023"/>
    <w:rsid w:val="0081512E"/>
    <w:rsid w:val="008241CE"/>
    <w:rsid w:val="00825153"/>
    <w:rsid w:val="00831F2A"/>
    <w:rsid w:val="0084051C"/>
    <w:rsid w:val="0084325D"/>
    <w:rsid w:val="0085036E"/>
    <w:rsid w:val="008707D0"/>
    <w:rsid w:val="008708AE"/>
    <w:rsid w:val="00882A52"/>
    <w:rsid w:val="00892000"/>
    <w:rsid w:val="00896520"/>
    <w:rsid w:val="008A2EA3"/>
    <w:rsid w:val="008B3F1C"/>
    <w:rsid w:val="008C1DD9"/>
    <w:rsid w:val="008E57CE"/>
    <w:rsid w:val="008E70E7"/>
    <w:rsid w:val="008F04E8"/>
    <w:rsid w:val="008F7CFC"/>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17E4B"/>
    <w:rsid w:val="00A21A8A"/>
    <w:rsid w:val="00A4418D"/>
    <w:rsid w:val="00A54413"/>
    <w:rsid w:val="00A64988"/>
    <w:rsid w:val="00A74302"/>
    <w:rsid w:val="00A74B3C"/>
    <w:rsid w:val="00A8307B"/>
    <w:rsid w:val="00A86744"/>
    <w:rsid w:val="00A93C2E"/>
    <w:rsid w:val="00A95076"/>
    <w:rsid w:val="00A954A9"/>
    <w:rsid w:val="00AA2A8B"/>
    <w:rsid w:val="00AA315F"/>
    <w:rsid w:val="00AA61B5"/>
    <w:rsid w:val="00AA7436"/>
    <w:rsid w:val="00AC6B79"/>
    <w:rsid w:val="00AD03DC"/>
    <w:rsid w:val="00AD5BA0"/>
    <w:rsid w:val="00AD6588"/>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7DB6"/>
    <w:rsid w:val="00CF7632"/>
    <w:rsid w:val="00D05B65"/>
    <w:rsid w:val="00D0658E"/>
    <w:rsid w:val="00D17FF1"/>
    <w:rsid w:val="00D20EC6"/>
    <w:rsid w:val="00D241B0"/>
    <w:rsid w:val="00D32C0E"/>
    <w:rsid w:val="00D408DE"/>
    <w:rsid w:val="00D669F3"/>
    <w:rsid w:val="00D8214B"/>
    <w:rsid w:val="00D853B2"/>
    <w:rsid w:val="00D95244"/>
    <w:rsid w:val="00D96A56"/>
    <w:rsid w:val="00DE4970"/>
    <w:rsid w:val="00DF24B1"/>
    <w:rsid w:val="00DF2695"/>
    <w:rsid w:val="00DF5454"/>
    <w:rsid w:val="00DF6CB2"/>
    <w:rsid w:val="00E1313A"/>
    <w:rsid w:val="00E46EC5"/>
    <w:rsid w:val="00E62CB2"/>
    <w:rsid w:val="00E70E3F"/>
    <w:rsid w:val="00E745AD"/>
    <w:rsid w:val="00E77768"/>
    <w:rsid w:val="00E86F9F"/>
    <w:rsid w:val="00E92754"/>
    <w:rsid w:val="00E97A2C"/>
    <w:rsid w:val="00EA4DA4"/>
    <w:rsid w:val="00EE2747"/>
    <w:rsid w:val="00EE315E"/>
    <w:rsid w:val="00EF3819"/>
    <w:rsid w:val="00F01A41"/>
    <w:rsid w:val="00F07534"/>
    <w:rsid w:val="00F35954"/>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B5980"/>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Microsoft Office User</cp:lastModifiedBy>
  <cp:revision>4</cp:revision>
  <dcterms:created xsi:type="dcterms:W3CDTF">2022-02-20T09:26:00Z</dcterms:created>
  <dcterms:modified xsi:type="dcterms:W3CDTF">2022-05-31T07:54:00Z</dcterms:modified>
</cp:coreProperties>
</file>